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pPr w:leftFromText="141" w:rightFromText="141" w:vertAnchor="text" w:horzAnchor="margin" w:tblpY="1423"/>
        <w:tblW w:w="0" w:type="auto"/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708"/>
        <w:gridCol w:w="993"/>
        <w:gridCol w:w="702"/>
      </w:tblGrid>
      <w:tr w:rsidR="009C02B3" w:rsidRPr="00D76C2D" w14:paraId="3BFDC40C" w14:textId="77777777" w:rsidTr="009C02B3">
        <w:tc>
          <w:tcPr>
            <w:tcW w:w="2835" w:type="dxa"/>
            <w:vMerge w:val="restart"/>
            <w:vAlign w:val="center"/>
          </w:tcPr>
          <w:p w14:paraId="61248713" w14:textId="77777777" w:rsidR="009C02B3" w:rsidRPr="00D76C2D" w:rsidRDefault="009C02B3" w:rsidP="009C02B3">
            <w:pPr>
              <w:jc w:val="center"/>
              <w:rPr>
                <w:b/>
                <w:bCs/>
                <w:lang w:val="en-US"/>
              </w:rPr>
            </w:pPr>
            <w:r w:rsidRPr="00D76C2D">
              <w:rPr>
                <w:b/>
                <w:bCs/>
                <w:lang w:val="en-US"/>
              </w:rPr>
              <w:t>Onconeural antibodies</w:t>
            </w:r>
          </w:p>
        </w:tc>
        <w:tc>
          <w:tcPr>
            <w:tcW w:w="4813" w:type="dxa"/>
            <w:gridSpan w:val="5"/>
            <w:vAlign w:val="center"/>
          </w:tcPr>
          <w:p w14:paraId="515EC6CF" w14:textId="77777777" w:rsidR="009C02B3" w:rsidRPr="00D76C2D" w:rsidRDefault="009C02B3" w:rsidP="009C02B3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D76C2D">
              <w:rPr>
                <w:b/>
                <w:bCs/>
                <w:lang w:val="en-US"/>
              </w:rPr>
              <w:t>irAEs</w:t>
            </w:r>
            <w:proofErr w:type="spellEnd"/>
          </w:p>
        </w:tc>
      </w:tr>
      <w:tr w:rsidR="009C02B3" w:rsidRPr="00D76C2D" w14:paraId="07AF0675" w14:textId="77777777" w:rsidTr="009C02B3">
        <w:tc>
          <w:tcPr>
            <w:tcW w:w="2835" w:type="dxa"/>
            <w:vMerge/>
            <w:vAlign w:val="center"/>
          </w:tcPr>
          <w:p w14:paraId="1156D9D4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BEF48D8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Grade 3</w:t>
            </w:r>
          </w:p>
        </w:tc>
        <w:tc>
          <w:tcPr>
            <w:tcW w:w="1276" w:type="dxa"/>
            <w:vAlign w:val="center"/>
          </w:tcPr>
          <w:p w14:paraId="35CA7477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Grade 1-2</w:t>
            </w:r>
          </w:p>
        </w:tc>
        <w:tc>
          <w:tcPr>
            <w:tcW w:w="708" w:type="dxa"/>
            <w:vAlign w:val="center"/>
          </w:tcPr>
          <w:p w14:paraId="32E2C595" w14:textId="77777777" w:rsidR="009C02B3" w:rsidRPr="00D76C2D" w:rsidRDefault="009C02B3" w:rsidP="009C02B3">
            <w:pPr>
              <w:jc w:val="center"/>
              <w:rPr>
                <w:i/>
                <w:iCs/>
                <w:lang w:val="en-US"/>
              </w:rPr>
            </w:pPr>
            <w:r w:rsidRPr="00D76C2D">
              <w:rPr>
                <w:i/>
                <w:iCs/>
                <w:lang w:val="en-US"/>
              </w:rPr>
              <w:t>P</w:t>
            </w:r>
          </w:p>
        </w:tc>
        <w:tc>
          <w:tcPr>
            <w:tcW w:w="993" w:type="dxa"/>
            <w:vAlign w:val="center"/>
          </w:tcPr>
          <w:p w14:paraId="40C2C27D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No irAE</w:t>
            </w:r>
          </w:p>
        </w:tc>
        <w:tc>
          <w:tcPr>
            <w:tcW w:w="702" w:type="dxa"/>
            <w:vAlign w:val="center"/>
          </w:tcPr>
          <w:p w14:paraId="0AAC1BB1" w14:textId="77777777" w:rsidR="009C02B3" w:rsidRPr="00D76C2D" w:rsidRDefault="009C02B3" w:rsidP="009C02B3">
            <w:pPr>
              <w:jc w:val="center"/>
              <w:rPr>
                <w:i/>
                <w:iCs/>
                <w:lang w:val="en-US"/>
              </w:rPr>
            </w:pPr>
            <w:r w:rsidRPr="00D76C2D">
              <w:rPr>
                <w:i/>
                <w:iCs/>
                <w:lang w:val="en-US"/>
              </w:rPr>
              <w:t>P</w:t>
            </w:r>
          </w:p>
        </w:tc>
      </w:tr>
      <w:tr w:rsidR="009C02B3" w:rsidRPr="00D76C2D" w14:paraId="2A9B5E1E" w14:textId="77777777" w:rsidTr="009C02B3">
        <w:tc>
          <w:tcPr>
            <w:tcW w:w="2835" w:type="dxa"/>
            <w:vAlign w:val="center"/>
          </w:tcPr>
          <w:p w14:paraId="60976FF9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positive</w:t>
            </w:r>
          </w:p>
        </w:tc>
        <w:tc>
          <w:tcPr>
            <w:tcW w:w="1134" w:type="dxa"/>
            <w:vAlign w:val="center"/>
          </w:tcPr>
          <w:p w14:paraId="2CAF8983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653B2933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4</w:t>
            </w:r>
          </w:p>
        </w:tc>
        <w:tc>
          <w:tcPr>
            <w:tcW w:w="708" w:type="dxa"/>
            <w:vMerge w:val="restart"/>
            <w:vAlign w:val="center"/>
          </w:tcPr>
          <w:p w14:paraId="29A875BA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1.00</w:t>
            </w:r>
          </w:p>
        </w:tc>
        <w:tc>
          <w:tcPr>
            <w:tcW w:w="993" w:type="dxa"/>
            <w:vAlign w:val="center"/>
          </w:tcPr>
          <w:p w14:paraId="3EB91F23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17</w:t>
            </w:r>
          </w:p>
        </w:tc>
        <w:tc>
          <w:tcPr>
            <w:tcW w:w="702" w:type="dxa"/>
            <w:vMerge w:val="restart"/>
            <w:vAlign w:val="center"/>
          </w:tcPr>
          <w:p w14:paraId="5EEC4EE4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0.59</w:t>
            </w:r>
          </w:p>
        </w:tc>
      </w:tr>
      <w:tr w:rsidR="009C02B3" w:rsidRPr="00D76C2D" w14:paraId="7EFA74F8" w14:textId="77777777" w:rsidTr="009C02B3">
        <w:tc>
          <w:tcPr>
            <w:tcW w:w="2835" w:type="dxa"/>
            <w:vAlign w:val="center"/>
          </w:tcPr>
          <w:p w14:paraId="25765DD9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negative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FB031B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B30244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6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4E6AD447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5E7F02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35</w:t>
            </w:r>
          </w:p>
        </w:tc>
        <w:tc>
          <w:tcPr>
            <w:tcW w:w="702" w:type="dxa"/>
            <w:vMerge/>
            <w:tcBorders>
              <w:bottom w:val="single" w:sz="4" w:space="0" w:color="auto"/>
            </w:tcBorders>
            <w:vAlign w:val="center"/>
          </w:tcPr>
          <w:p w14:paraId="0B3B5A0E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</w:p>
        </w:tc>
      </w:tr>
      <w:tr w:rsidR="009C02B3" w:rsidRPr="00D76C2D" w14:paraId="6E7A1A75" w14:textId="77777777" w:rsidTr="009C02B3">
        <w:tc>
          <w:tcPr>
            <w:tcW w:w="2835" w:type="dxa"/>
            <w:tcBorders>
              <w:right w:val="nil"/>
            </w:tcBorders>
            <w:vAlign w:val="center"/>
          </w:tcPr>
          <w:p w14:paraId="69663C89" w14:textId="77777777" w:rsidR="009C02B3" w:rsidRPr="00D76C2D" w:rsidRDefault="009C02B3" w:rsidP="009C02B3">
            <w:pPr>
              <w:jc w:val="center"/>
              <w:rPr>
                <w:b/>
                <w:bCs/>
                <w:lang w:val="en-US"/>
              </w:rPr>
            </w:pPr>
            <w:r w:rsidRPr="00D76C2D">
              <w:rPr>
                <w:b/>
                <w:bCs/>
                <w:lang w:val="en-US"/>
              </w:rPr>
              <w:t>Anti-Hu antibodies</w:t>
            </w:r>
          </w:p>
        </w:tc>
        <w:tc>
          <w:tcPr>
            <w:tcW w:w="4813" w:type="dxa"/>
            <w:gridSpan w:val="5"/>
            <w:tcBorders>
              <w:left w:val="nil"/>
            </w:tcBorders>
            <w:vAlign w:val="center"/>
          </w:tcPr>
          <w:p w14:paraId="122D49EF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</w:p>
        </w:tc>
      </w:tr>
      <w:tr w:rsidR="009C02B3" w:rsidRPr="00D76C2D" w14:paraId="7BBDA604" w14:textId="77777777" w:rsidTr="009C02B3">
        <w:tc>
          <w:tcPr>
            <w:tcW w:w="2835" w:type="dxa"/>
            <w:vAlign w:val="center"/>
          </w:tcPr>
          <w:p w14:paraId="5D55E307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positive</w:t>
            </w:r>
          </w:p>
        </w:tc>
        <w:tc>
          <w:tcPr>
            <w:tcW w:w="1134" w:type="dxa"/>
            <w:vAlign w:val="center"/>
          </w:tcPr>
          <w:p w14:paraId="42F36C5E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0F913069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14:paraId="4FFAF2F3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0.58</w:t>
            </w:r>
          </w:p>
        </w:tc>
        <w:tc>
          <w:tcPr>
            <w:tcW w:w="993" w:type="dxa"/>
            <w:vAlign w:val="center"/>
          </w:tcPr>
          <w:p w14:paraId="69474711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5</w:t>
            </w:r>
          </w:p>
        </w:tc>
        <w:tc>
          <w:tcPr>
            <w:tcW w:w="702" w:type="dxa"/>
            <w:vMerge w:val="restart"/>
            <w:vAlign w:val="center"/>
          </w:tcPr>
          <w:p w14:paraId="6E7E3B81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0.07</w:t>
            </w:r>
          </w:p>
        </w:tc>
      </w:tr>
      <w:tr w:rsidR="009C02B3" w:rsidRPr="00D76C2D" w14:paraId="065AE69F" w14:textId="77777777" w:rsidTr="009C02B3">
        <w:tc>
          <w:tcPr>
            <w:tcW w:w="2835" w:type="dxa"/>
            <w:vAlign w:val="center"/>
          </w:tcPr>
          <w:p w14:paraId="3596E5B5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negative</w:t>
            </w:r>
          </w:p>
        </w:tc>
        <w:tc>
          <w:tcPr>
            <w:tcW w:w="1134" w:type="dxa"/>
            <w:vAlign w:val="center"/>
          </w:tcPr>
          <w:p w14:paraId="78F72D23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3D8B967E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7</w:t>
            </w:r>
          </w:p>
        </w:tc>
        <w:tc>
          <w:tcPr>
            <w:tcW w:w="708" w:type="dxa"/>
            <w:vMerge/>
            <w:vAlign w:val="center"/>
          </w:tcPr>
          <w:p w14:paraId="2F194680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7B27776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  <w:r w:rsidRPr="00D76C2D">
              <w:rPr>
                <w:lang w:val="en-US"/>
              </w:rPr>
              <w:t>47</w:t>
            </w:r>
          </w:p>
        </w:tc>
        <w:tc>
          <w:tcPr>
            <w:tcW w:w="702" w:type="dxa"/>
            <w:vMerge/>
            <w:vAlign w:val="center"/>
          </w:tcPr>
          <w:p w14:paraId="149DD757" w14:textId="77777777" w:rsidR="009C02B3" w:rsidRPr="00D76C2D" w:rsidRDefault="009C02B3" w:rsidP="009C02B3">
            <w:pPr>
              <w:jc w:val="center"/>
              <w:rPr>
                <w:lang w:val="en-US"/>
              </w:rPr>
            </w:pPr>
          </w:p>
        </w:tc>
      </w:tr>
    </w:tbl>
    <w:p w14:paraId="7500A165" w14:textId="05747D26" w:rsidR="002B5977" w:rsidRPr="00D76C2D" w:rsidRDefault="00D76C2D">
      <w:pPr>
        <w:rPr>
          <w:lang w:val="en-US"/>
        </w:rPr>
      </w:pPr>
      <w:r w:rsidRPr="00D76C2D">
        <w:rPr>
          <w:b/>
          <w:bCs/>
          <w:lang w:val="en-US"/>
        </w:rPr>
        <w:t xml:space="preserve">Supplementary Table </w:t>
      </w:r>
      <w:r w:rsidR="00BA794D">
        <w:rPr>
          <w:b/>
          <w:bCs/>
          <w:lang w:val="en-US"/>
        </w:rPr>
        <w:t>2</w:t>
      </w:r>
      <w:r w:rsidRPr="00D76C2D">
        <w:rPr>
          <w:lang w:val="en-US"/>
        </w:rPr>
        <w:t>. Fisher’s test of association between grade 3 vs grade 1-2 immune-related adverse events (</w:t>
      </w:r>
      <w:proofErr w:type="spellStart"/>
      <w:r w:rsidRPr="00D76C2D">
        <w:rPr>
          <w:lang w:val="en-US"/>
        </w:rPr>
        <w:t>irAEs</w:t>
      </w:r>
      <w:proofErr w:type="spellEnd"/>
      <w:r w:rsidRPr="00D76C2D">
        <w:rPr>
          <w:lang w:val="en-US"/>
        </w:rPr>
        <w:t xml:space="preserve">) by onconeural or anti-Hu antibody positivity, and between grade 3 </w:t>
      </w:r>
      <w:proofErr w:type="spellStart"/>
      <w:r w:rsidRPr="00D76C2D">
        <w:rPr>
          <w:lang w:val="en-US"/>
        </w:rPr>
        <w:t>irAEs</w:t>
      </w:r>
      <w:proofErr w:type="spellEnd"/>
      <w:r w:rsidRPr="00D76C2D">
        <w:rPr>
          <w:lang w:val="en-US"/>
        </w:rPr>
        <w:t xml:space="preserve"> </w:t>
      </w:r>
      <w:proofErr w:type="spellStart"/>
      <w:r w:rsidRPr="00D76C2D">
        <w:rPr>
          <w:lang w:val="en-US"/>
        </w:rPr>
        <w:t>occurence</w:t>
      </w:r>
      <w:proofErr w:type="spellEnd"/>
      <w:r w:rsidRPr="00D76C2D">
        <w:rPr>
          <w:lang w:val="en-US"/>
        </w:rPr>
        <w:t xml:space="preserve"> vs no by onconeural or anti-Hu antibody positivity.</w:t>
      </w:r>
    </w:p>
    <w:sectPr w:rsidR="002B5977" w:rsidRPr="00D76C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977"/>
    <w:rsid w:val="002B5977"/>
    <w:rsid w:val="0097106C"/>
    <w:rsid w:val="009C02B3"/>
    <w:rsid w:val="00A86CC6"/>
    <w:rsid w:val="00BA794D"/>
    <w:rsid w:val="00D7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8D1CC8"/>
  <w15:chartTrackingRefBased/>
  <w15:docId w15:val="{2482EFA7-1442-544E-B94F-2DF9D410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B5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B5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B59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5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B59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B5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B5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B5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B5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B59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B59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B59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597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B597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B59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B59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B59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B59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B5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B5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B5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B5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B5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B59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B59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B597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B59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B597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B597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B5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Lamberti</dc:creator>
  <cp:keywords/>
  <dc:description/>
  <cp:lastModifiedBy>Elisa Andrini</cp:lastModifiedBy>
  <cp:revision>3</cp:revision>
  <dcterms:created xsi:type="dcterms:W3CDTF">2025-10-22T14:24:00Z</dcterms:created>
  <dcterms:modified xsi:type="dcterms:W3CDTF">2025-11-16T17:15:00Z</dcterms:modified>
</cp:coreProperties>
</file>